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6D0A" w:rsidP="5C6B687B" w:rsidRDefault="003C00A9" w14:paraId="267A758E" w14:textId="0CC66F98">
      <w:pPr>
        <w:pStyle w:val="Heading2"/>
      </w:pPr>
      <w:r w:rsidR="5C0417ED">
        <w:rPr/>
        <w:t xml:space="preserve">UCU </w:t>
      </w:r>
      <w:r w:rsidR="0BD0BB10">
        <w:rPr/>
        <w:t>Paper: A</w:t>
      </w:r>
      <w:r w:rsidR="003C00A9">
        <w:rPr/>
        <w:t>n audit of involvement (</w:t>
      </w:r>
      <w:r w:rsidR="003C00A9">
        <w:rPr/>
        <w:t>regarding</w:t>
      </w:r>
      <w:r w:rsidR="003C00A9">
        <w:rPr/>
        <w:t xml:space="preserve"> investment and other collaborations) with companies and </w:t>
      </w:r>
      <w:r w:rsidR="003C00A9">
        <w:rPr/>
        <w:t>organisations</w:t>
      </w:r>
      <w:r w:rsidR="003C00A9">
        <w:rPr/>
        <w:t xml:space="preserve"> that are suppliers to the Israeli military.</w:t>
      </w:r>
    </w:p>
    <w:p w:rsidR="00C86D0A" w:rsidRDefault="003C00A9" w14:paraId="62C9AB97" w14:textId="77777777">
      <w:pPr>
        <w:rPr>
          <w:b/>
          <w:bCs/>
        </w:rPr>
      </w:pPr>
      <w:r>
        <w:rPr>
          <w:b/>
          <w:bCs/>
        </w:rPr>
        <w:t>HP Inc.</w:t>
      </w:r>
    </w:p>
    <w:p w:rsidR="00C86D0A" w:rsidRDefault="003C00A9" w14:paraId="0CC02E67" w14:textId="77777777">
      <w:r>
        <w:t>The current list of approved Windows laptops (intranet page on ‘</w:t>
      </w:r>
      <w:hyperlink w:tooltip="https://intranet.cardiff.ac.uk/staff/supporting-your-work/purchasing-services-and-goods/university-suppliers-and-contracts/purchasing-it-goods-and-services/purchasing-laptops/laptop-computers" w:history="1" r:id="rId9">
        <w:r>
          <w:rPr>
            <w:rStyle w:val="Hyperlink"/>
          </w:rPr>
          <w:t>purchasing Windows laptops</w:t>
        </w:r>
      </w:hyperlink>
      <w:r>
        <w:t>’) contains exclusively HP Inc. products (HP 640 G10). HP Inc. have a widely documented past involvement as suppliers of the Israeli military and other parts of the Israeli government (see below links). With regard to current involvement, HP Inc. are refusing to confirm or deny business relationships with the Israeli military for obvious reasons. It would be easy for HP Inc. to bring clarity but it is reported that as recently as earlier this year, an HP spokesperson specifically declined to comment when as</w:t>
      </w:r>
      <w:r>
        <w:t>ked whether they currently do business with the Israeli government or military (</w:t>
      </w:r>
      <w:hyperlink w:tooltip="https://dublininquirer.com/2024/01/17/despite-palestinians-calls-councillors-vote-and-genocide-dublin-city-council-continues-to-buy-hp-computers/" w:history="1" r:id="rId10">
        <w:r>
          <w:rPr>
            <w:rStyle w:val="Hyperlink"/>
          </w:rPr>
          <w:t>https://dublininquirer.com/2024/01/17/despite-palestinians-calls-councillors-vote-and-genocide-dublin-city-council-continues-to-buy-hp-computers/</w:t>
        </w:r>
      </w:hyperlink>
      <w:r>
        <w:t>). It must therefore be assumed that HP Inc. remain suppliers to the Israeli military at this time and for this reason they are also the only IT equipment manufacturer listed on the BDS list.</w:t>
      </w:r>
    </w:p>
    <w:p w:rsidR="00C86D0A" w:rsidRDefault="003C00A9" w14:paraId="2D0C6522" w14:textId="77777777">
      <w:r>
        <w:t>Documentation on historical supplier status:</w:t>
      </w:r>
    </w:p>
    <w:p w:rsidR="00C86D0A" w:rsidRDefault="003C00A9" w14:paraId="6150635F" w14:textId="77777777">
      <w:pPr>
        <w:pStyle w:val="ListParagraph"/>
        <w:numPr>
          <w:ilvl w:val="0"/>
          <w:numId w:val="2"/>
        </w:numPr>
      </w:pPr>
      <w:hyperlink w:tooltip="https://investigate.afsc.org/company/hp" w:history="1" r:id="rId11">
        <w:r>
          <w:rPr>
            <w:rStyle w:val="Hyperlink"/>
          </w:rPr>
          <w:t>https://investigate.afsc.org/company/hp</w:t>
        </w:r>
      </w:hyperlink>
    </w:p>
    <w:p w:rsidR="00C86D0A" w:rsidRDefault="003C00A9" w14:paraId="3884F9D1" w14:textId="77777777">
      <w:pPr>
        <w:pStyle w:val="ListParagraph"/>
        <w:numPr>
          <w:ilvl w:val="0"/>
          <w:numId w:val="2"/>
        </w:numPr>
      </w:pPr>
      <w:hyperlink w:tooltip="https://bdsmovement.net/BoycottHP-GazaGenocide-Update" w:history="1" r:id="rId12">
        <w:r>
          <w:rPr>
            <w:rStyle w:val="Hyperlink"/>
          </w:rPr>
          <w:t>https://bdsmovement.net/BoycottHP-GazaGenocide-Update</w:t>
        </w:r>
      </w:hyperlink>
    </w:p>
    <w:p w:rsidR="00C86D0A" w:rsidRDefault="003C00A9" w14:paraId="3EE22B39" w14:textId="77777777">
      <w:pPr>
        <w:pStyle w:val="ListParagraph"/>
        <w:numPr>
          <w:ilvl w:val="0"/>
          <w:numId w:val="2"/>
        </w:numPr>
      </w:pPr>
      <w:hyperlink w:tooltip="https://docs.google.com/document/d/1dTl5tb_hDtdztp3ASx0XOFTegmWXfPUvggZusx0dFFg/edit" w:history="1" r:id="rId13">
        <w:r>
          <w:rPr>
            <w:rStyle w:val="Hyperlink"/>
          </w:rPr>
          <w:t>https://docs.google.com/document/d/1dTl5tb_hDtdztp3ASx0XOFTegmWXfPUvggZusx0dFFg/edit</w:t>
        </w:r>
      </w:hyperlink>
    </w:p>
    <w:p w:rsidR="00C86D0A" w:rsidRDefault="003C00A9" w14:paraId="7BEA4F2E" w14:textId="77777777">
      <w:r>
        <w:t>Cardiff University wishes to be an anti-racist university. This is incompatible with choosing to collaborate with a supplier to the Israeli military who are currently accused of involvement in genocide and war crimes. Our members and other staff are uncomfortable being asked to use HP equipment and for many having new HP equipment procured for their use violates their conscience. We are hearing the same sentiments from students.</w:t>
      </w:r>
    </w:p>
    <w:p w:rsidR="00C86D0A" w:rsidRDefault="003C00A9" w14:paraId="71A0C34E" w14:textId="77777777">
      <w:r>
        <w:t>The Union requests</w:t>
      </w:r>
    </w:p>
    <w:p w:rsidR="00C86D0A" w:rsidRDefault="003C00A9" w14:paraId="1B5D684D" w14:textId="77777777">
      <w:pPr>
        <w:pStyle w:val="ListParagraph"/>
        <w:numPr>
          <w:ilvl w:val="0"/>
          <w:numId w:val="3"/>
        </w:numPr>
      </w:pPr>
      <w:r>
        <w:t>HP Inc. is removed from the list of approved suppliers</w:t>
      </w:r>
    </w:p>
    <w:p w:rsidR="00C86D0A" w:rsidRDefault="003C00A9" w14:paraId="3CC12C97" w14:textId="77777777">
      <w:pPr>
        <w:pStyle w:val="ListParagraph"/>
        <w:numPr>
          <w:ilvl w:val="0"/>
          <w:numId w:val="3"/>
        </w:numPr>
      </w:pPr>
      <w:r>
        <w:t>No members of staff will have new products by HP forced on them and alternative products will be procured</w:t>
      </w:r>
    </w:p>
    <w:sectPr w:rsidR="00C86D0A">
      <w:pgSz w:w="11906" w:h="16838" w:orient="portrait"/>
      <w:pgMar w:top="1134" w:right="850"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6D0A" w:rsidRDefault="003C00A9" w14:paraId="0A37501D" w14:textId="77777777">
      <w:pPr>
        <w:spacing w:after="0" w:line="240" w:lineRule="auto"/>
      </w:pPr>
      <w:r>
        <w:separator/>
      </w:r>
    </w:p>
  </w:endnote>
  <w:endnote w:type="continuationSeparator" w:id="0">
    <w:p w:rsidR="00C86D0A" w:rsidRDefault="003C00A9" w14:paraId="5DAB6C7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6D0A" w:rsidRDefault="003C00A9" w14:paraId="02EB378F" w14:textId="77777777">
      <w:pPr>
        <w:spacing w:after="0" w:line="240" w:lineRule="auto"/>
      </w:pPr>
      <w:r>
        <w:separator/>
      </w:r>
    </w:p>
  </w:footnote>
  <w:footnote w:type="continuationSeparator" w:id="0">
    <w:p w:rsidR="00C86D0A" w:rsidRDefault="003C00A9" w14:paraId="6A05A80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43465"/>
    <w:multiLevelType w:val="multilevel"/>
    <w:tmpl w:val="FFFFFFFF"/>
    <w:lvl w:ilvl="0">
      <w:start w:val="1"/>
      <w:numFmt w:val="bullet"/>
      <w:lvlText w:val="·"/>
      <w:lvlJc w:val="left"/>
      <w:pPr>
        <w:ind w:left="709" w:hanging="360"/>
      </w:pPr>
      <w:rPr>
        <w:rFonts w:hint="default" w:ascii="Symbol" w:hAnsi="Symbol" w:eastAsia="Symbol" w:cs="Symbol"/>
      </w:rPr>
    </w:lvl>
    <w:lvl w:ilvl="1">
      <w:start w:val="1"/>
      <w:numFmt w:val="bullet"/>
      <w:lvlText w:val="o"/>
      <w:lvlJc w:val="left"/>
      <w:pPr>
        <w:ind w:left="1429" w:hanging="360"/>
      </w:pPr>
      <w:rPr>
        <w:rFonts w:hint="default" w:ascii="Courier New" w:hAnsi="Courier New" w:eastAsia="Courier New" w:cs="Courier New"/>
      </w:rPr>
    </w:lvl>
    <w:lvl w:ilvl="2">
      <w:start w:val="1"/>
      <w:numFmt w:val="bullet"/>
      <w:lvlText w:val="§"/>
      <w:lvlJc w:val="left"/>
      <w:pPr>
        <w:ind w:left="2149" w:hanging="360"/>
      </w:pPr>
      <w:rPr>
        <w:rFonts w:hint="default" w:ascii="Wingdings" w:hAnsi="Wingdings" w:eastAsia="Wingdings" w:cs="Wingdings"/>
      </w:rPr>
    </w:lvl>
    <w:lvl w:ilvl="3">
      <w:start w:val="1"/>
      <w:numFmt w:val="bullet"/>
      <w:lvlText w:val="·"/>
      <w:lvlJc w:val="left"/>
      <w:pPr>
        <w:ind w:left="2869" w:hanging="360"/>
      </w:pPr>
      <w:rPr>
        <w:rFonts w:hint="default" w:ascii="Symbol" w:hAnsi="Symbol" w:eastAsia="Symbol" w:cs="Symbol"/>
      </w:rPr>
    </w:lvl>
    <w:lvl w:ilvl="4">
      <w:start w:val="1"/>
      <w:numFmt w:val="bullet"/>
      <w:lvlText w:val="o"/>
      <w:lvlJc w:val="left"/>
      <w:pPr>
        <w:ind w:left="3589" w:hanging="360"/>
      </w:pPr>
      <w:rPr>
        <w:rFonts w:hint="default" w:ascii="Courier New" w:hAnsi="Courier New" w:eastAsia="Courier New" w:cs="Courier New"/>
      </w:rPr>
    </w:lvl>
    <w:lvl w:ilvl="5">
      <w:start w:val="1"/>
      <w:numFmt w:val="bullet"/>
      <w:lvlText w:val="§"/>
      <w:lvlJc w:val="left"/>
      <w:pPr>
        <w:ind w:left="4309" w:hanging="360"/>
      </w:pPr>
      <w:rPr>
        <w:rFonts w:hint="default" w:ascii="Wingdings" w:hAnsi="Wingdings" w:eastAsia="Wingdings" w:cs="Wingdings"/>
      </w:rPr>
    </w:lvl>
    <w:lvl w:ilvl="6">
      <w:start w:val="1"/>
      <w:numFmt w:val="bullet"/>
      <w:lvlText w:val="·"/>
      <w:lvlJc w:val="left"/>
      <w:pPr>
        <w:ind w:left="5029" w:hanging="360"/>
      </w:pPr>
      <w:rPr>
        <w:rFonts w:hint="default" w:ascii="Symbol" w:hAnsi="Symbol" w:eastAsia="Symbol" w:cs="Symbol"/>
      </w:rPr>
    </w:lvl>
    <w:lvl w:ilvl="7">
      <w:start w:val="1"/>
      <w:numFmt w:val="bullet"/>
      <w:lvlText w:val="o"/>
      <w:lvlJc w:val="left"/>
      <w:pPr>
        <w:ind w:left="5749" w:hanging="360"/>
      </w:pPr>
      <w:rPr>
        <w:rFonts w:hint="default" w:ascii="Courier New" w:hAnsi="Courier New" w:eastAsia="Courier New" w:cs="Courier New"/>
      </w:rPr>
    </w:lvl>
    <w:lvl w:ilvl="8">
      <w:start w:val="1"/>
      <w:numFmt w:val="bullet"/>
      <w:lvlText w:val="§"/>
      <w:lvlJc w:val="left"/>
      <w:pPr>
        <w:ind w:left="6469" w:hanging="360"/>
      </w:pPr>
      <w:rPr>
        <w:rFonts w:hint="default" w:ascii="Wingdings" w:hAnsi="Wingdings" w:eastAsia="Wingdings" w:cs="Wingdings"/>
      </w:rPr>
    </w:lvl>
  </w:abstractNum>
  <w:abstractNum w:abstractNumId="1" w15:restartNumberingAfterBreak="0">
    <w:nsid w:val="431113AC"/>
    <w:multiLevelType w:val="multilevel"/>
    <w:tmpl w:val="FFFFFFFF"/>
    <w:lvl w:ilvl="0">
      <w:start w:val="1"/>
      <w:numFmt w:val="bullet"/>
      <w:lvlText w:val="·"/>
      <w:lvlJc w:val="left"/>
      <w:pPr>
        <w:ind w:left="709" w:hanging="360"/>
      </w:pPr>
      <w:rPr>
        <w:rFonts w:hint="default" w:ascii="Symbol" w:hAnsi="Symbol" w:eastAsia="Symbol" w:cs="Symbol"/>
      </w:rPr>
    </w:lvl>
    <w:lvl w:ilvl="1">
      <w:start w:val="1"/>
      <w:numFmt w:val="bullet"/>
      <w:lvlText w:val="o"/>
      <w:lvlJc w:val="left"/>
      <w:pPr>
        <w:ind w:left="1429" w:hanging="360"/>
      </w:pPr>
      <w:rPr>
        <w:rFonts w:hint="default" w:ascii="Courier New" w:hAnsi="Courier New" w:eastAsia="Courier New" w:cs="Courier New"/>
      </w:rPr>
    </w:lvl>
    <w:lvl w:ilvl="2">
      <w:start w:val="1"/>
      <w:numFmt w:val="bullet"/>
      <w:lvlText w:val="§"/>
      <w:lvlJc w:val="left"/>
      <w:pPr>
        <w:ind w:left="2149" w:hanging="360"/>
      </w:pPr>
      <w:rPr>
        <w:rFonts w:hint="default" w:ascii="Wingdings" w:hAnsi="Wingdings" w:eastAsia="Wingdings" w:cs="Wingdings"/>
      </w:rPr>
    </w:lvl>
    <w:lvl w:ilvl="3">
      <w:start w:val="1"/>
      <w:numFmt w:val="bullet"/>
      <w:lvlText w:val="·"/>
      <w:lvlJc w:val="left"/>
      <w:pPr>
        <w:ind w:left="2869" w:hanging="360"/>
      </w:pPr>
      <w:rPr>
        <w:rFonts w:hint="default" w:ascii="Symbol" w:hAnsi="Symbol" w:eastAsia="Symbol" w:cs="Symbol"/>
      </w:rPr>
    </w:lvl>
    <w:lvl w:ilvl="4">
      <w:start w:val="1"/>
      <w:numFmt w:val="bullet"/>
      <w:lvlText w:val="o"/>
      <w:lvlJc w:val="left"/>
      <w:pPr>
        <w:ind w:left="3589" w:hanging="360"/>
      </w:pPr>
      <w:rPr>
        <w:rFonts w:hint="default" w:ascii="Courier New" w:hAnsi="Courier New" w:eastAsia="Courier New" w:cs="Courier New"/>
      </w:rPr>
    </w:lvl>
    <w:lvl w:ilvl="5">
      <w:start w:val="1"/>
      <w:numFmt w:val="bullet"/>
      <w:lvlText w:val="§"/>
      <w:lvlJc w:val="left"/>
      <w:pPr>
        <w:ind w:left="4309" w:hanging="360"/>
      </w:pPr>
      <w:rPr>
        <w:rFonts w:hint="default" w:ascii="Wingdings" w:hAnsi="Wingdings" w:eastAsia="Wingdings" w:cs="Wingdings"/>
      </w:rPr>
    </w:lvl>
    <w:lvl w:ilvl="6">
      <w:start w:val="1"/>
      <w:numFmt w:val="bullet"/>
      <w:lvlText w:val="·"/>
      <w:lvlJc w:val="left"/>
      <w:pPr>
        <w:ind w:left="5029" w:hanging="360"/>
      </w:pPr>
      <w:rPr>
        <w:rFonts w:hint="default" w:ascii="Symbol" w:hAnsi="Symbol" w:eastAsia="Symbol" w:cs="Symbol"/>
      </w:rPr>
    </w:lvl>
    <w:lvl w:ilvl="7">
      <w:start w:val="1"/>
      <w:numFmt w:val="bullet"/>
      <w:lvlText w:val="o"/>
      <w:lvlJc w:val="left"/>
      <w:pPr>
        <w:ind w:left="5749" w:hanging="360"/>
      </w:pPr>
      <w:rPr>
        <w:rFonts w:hint="default" w:ascii="Courier New" w:hAnsi="Courier New" w:eastAsia="Courier New" w:cs="Courier New"/>
      </w:rPr>
    </w:lvl>
    <w:lvl w:ilvl="8">
      <w:start w:val="1"/>
      <w:numFmt w:val="bullet"/>
      <w:lvlText w:val="§"/>
      <w:lvlJc w:val="left"/>
      <w:pPr>
        <w:ind w:left="6469" w:hanging="360"/>
      </w:pPr>
      <w:rPr>
        <w:rFonts w:hint="default" w:ascii="Wingdings" w:hAnsi="Wingdings" w:eastAsia="Wingdings" w:cs="Wingdings"/>
      </w:rPr>
    </w:lvl>
  </w:abstractNum>
  <w:abstractNum w:abstractNumId="2" w15:restartNumberingAfterBreak="0">
    <w:nsid w:val="5EE71640"/>
    <w:multiLevelType w:val="multilevel"/>
    <w:tmpl w:val="FFFFFFFF"/>
    <w:lvl w:ilvl="0">
      <w:start w:val="1"/>
      <w:numFmt w:val="bullet"/>
      <w:lvlText w:val="·"/>
      <w:lvlJc w:val="left"/>
      <w:pPr>
        <w:ind w:left="720" w:hanging="360"/>
      </w:pPr>
      <w:rPr>
        <w:rFonts w:hint="default" w:ascii="Symbol" w:hAnsi="Symbol" w:eastAsia="Symbol" w:cs="Symbol"/>
      </w:rPr>
    </w:lvl>
    <w:lvl w:ilvl="1">
      <w:start w:val="1"/>
      <w:numFmt w:val="bullet"/>
      <w:lvlText w:val="o"/>
      <w:lvlJc w:val="left"/>
      <w:pPr>
        <w:ind w:left="1440" w:hanging="360"/>
      </w:pPr>
      <w:rPr>
        <w:rFonts w:hint="default" w:ascii="Courier New" w:hAnsi="Courier New" w:eastAsia="Courier New" w:cs="Courier New"/>
      </w:rPr>
    </w:lvl>
    <w:lvl w:ilvl="2">
      <w:start w:val="1"/>
      <w:numFmt w:val="bullet"/>
      <w:lvlText w:val="§"/>
      <w:lvlJc w:val="left"/>
      <w:pPr>
        <w:ind w:left="2160" w:hanging="360"/>
      </w:pPr>
      <w:rPr>
        <w:rFonts w:hint="default" w:ascii="Wingdings" w:hAnsi="Wingdings" w:eastAsia="Wingdings" w:cs="Wingdings"/>
      </w:rPr>
    </w:lvl>
    <w:lvl w:ilvl="3">
      <w:start w:val="1"/>
      <w:numFmt w:val="bullet"/>
      <w:lvlText w:val="·"/>
      <w:lvlJc w:val="left"/>
      <w:pPr>
        <w:ind w:left="2880" w:hanging="360"/>
      </w:pPr>
      <w:rPr>
        <w:rFonts w:hint="default" w:ascii="Symbol" w:hAnsi="Symbol" w:eastAsia="Symbol" w:cs="Symbol"/>
      </w:rPr>
    </w:lvl>
    <w:lvl w:ilvl="4">
      <w:start w:val="1"/>
      <w:numFmt w:val="bullet"/>
      <w:lvlText w:val="o"/>
      <w:lvlJc w:val="left"/>
      <w:pPr>
        <w:ind w:left="3600" w:hanging="360"/>
      </w:pPr>
      <w:rPr>
        <w:rFonts w:hint="default" w:ascii="Courier New" w:hAnsi="Courier New" w:eastAsia="Courier New" w:cs="Courier New"/>
      </w:rPr>
    </w:lvl>
    <w:lvl w:ilvl="5">
      <w:start w:val="1"/>
      <w:numFmt w:val="bullet"/>
      <w:lvlText w:val="§"/>
      <w:lvlJc w:val="left"/>
      <w:pPr>
        <w:ind w:left="4320" w:hanging="360"/>
      </w:pPr>
      <w:rPr>
        <w:rFonts w:hint="default" w:ascii="Wingdings" w:hAnsi="Wingdings" w:eastAsia="Wingdings" w:cs="Wingdings"/>
      </w:rPr>
    </w:lvl>
    <w:lvl w:ilvl="6">
      <w:start w:val="1"/>
      <w:numFmt w:val="bullet"/>
      <w:lvlText w:val="·"/>
      <w:lvlJc w:val="left"/>
      <w:pPr>
        <w:ind w:left="5040" w:hanging="360"/>
      </w:pPr>
      <w:rPr>
        <w:rFonts w:hint="default" w:ascii="Symbol" w:hAnsi="Symbol" w:eastAsia="Symbol" w:cs="Symbol"/>
      </w:rPr>
    </w:lvl>
    <w:lvl w:ilvl="7">
      <w:start w:val="1"/>
      <w:numFmt w:val="bullet"/>
      <w:lvlText w:val="o"/>
      <w:lvlJc w:val="left"/>
      <w:pPr>
        <w:ind w:left="5760" w:hanging="360"/>
      </w:pPr>
      <w:rPr>
        <w:rFonts w:hint="default" w:ascii="Courier New" w:hAnsi="Courier New" w:eastAsia="Courier New" w:cs="Courier New"/>
      </w:rPr>
    </w:lvl>
    <w:lvl w:ilvl="8">
      <w:start w:val="1"/>
      <w:numFmt w:val="bullet"/>
      <w:lvlText w:val="§"/>
      <w:lvlJc w:val="left"/>
      <w:pPr>
        <w:ind w:left="6480" w:hanging="360"/>
      </w:pPr>
      <w:rPr>
        <w:rFonts w:hint="default" w:ascii="Wingdings" w:hAnsi="Wingdings" w:eastAsia="Wingdings" w:cs="Wingdings"/>
      </w:rPr>
    </w:lvl>
  </w:abstractNum>
  <w:num w:numId="1" w16cid:durableId="373309396">
    <w:abstractNumId w:val="0"/>
  </w:num>
  <w:num w:numId="2" w16cid:durableId="1860436053">
    <w:abstractNumId w:val="2"/>
  </w:num>
  <w:num w:numId="3" w16cid:durableId="178461503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D0A"/>
    <w:rsid w:val="003C00A9"/>
    <w:rsid w:val="0087498B"/>
    <w:rsid w:val="00C86D0A"/>
    <w:rsid w:val="0BD0BB10"/>
    <w:rsid w:val="51755702"/>
    <w:rsid w:val="5C0417ED"/>
    <w:rsid w:val="5C6B687B"/>
    <w:rsid w:val="63F918BF"/>
    <w:rsid w:val="658F910D"/>
    <w:rsid w:val="696F16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F6D9"/>
  <w15:docId w15:val="{C62C1255-D7C0-4E87-AE6A-298FD18185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480"/>
      <w:outlineLvl w:val="0"/>
    </w:pPr>
    <w:rPr>
      <w:rFonts w:ascii="Arial" w:hAnsi="Arial" w:eastAsia="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hAnsi="Arial" w:eastAsia="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hAnsi="Arial" w:eastAsia="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hAnsi="Arial" w:eastAsia="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hAnsi="Arial" w:eastAsia="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hAnsi="Arial" w:eastAsia="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hAnsi="Arial" w:eastAsia="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hAnsi="Arial" w:eastAsia="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hAnsi="Arial" w:eastAsia="Arial" w:cs="Arial"/>
      <w:i/>
      <w:i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Pr>
      <w:rFonts w:ascii="Arial" w:hAnsi="Arial" w:eastAsia="Arial" w:cs="Arial"/>
      <w:sz w:val="40"/>
      <w:szCs w:val="40"/>
    </w:rPr>
  </w:style>
  <w:style w:type="character" w:styleId="Heading2Char" w:customStyle="1">
    <w:name w:val="Heading 2 Char"/>
    <w:link w:val="Heading2"/>
    <w:uiPriority w:val="9"/>
    <w:rPr>
      <w:rFonts w:ascii="Arial" w:hAnsi="Arial" w:eastAsia="Arial" w:cs="Arial"/>
      <w:sz w:val="34"/>
    </w:rPr>
  </w:style>
  <w:style w:type="character" w:styleId="Heading3Char" w:customStyle="1">
    <w:name w:val="Heading 3 Char"/>
    <w:link w:val="Heading3"/>
    <w:uiPriority w:val="9"/>
    <w:rPr>
      <w:rFonts w:ascii="Arial" w:hAnsi="Arial" w:eastAsia="Arial" w:cs="Arial"/>
      <w:sz w:val="30"/>
      <w:szCs w:val="30"/>
    </w:rPr>
  </w:style>
  <w:style w:type="character" w:styleId="Heading4Char" w:customStyle="1">
    <w:name w:val="Heading 4 Char"/>
    <w:link w:val="Heading4"/>
    <w:uiPriority w:val="9"/>
    <w:rPr>
      <w:rFonts w:ascii="Arial" w:hAnsi="Arial" w:eastAsia="Arial" w:cs="Arial"/>
      <w:b/>
      <w:bCs/>
      <w:sz w:val="26"/>
      <w:szCs w:val="26"/>
    </w:rPr>
  </w:style>
  <w:style w:type="character" w:styleId="Heading5Char" w:customStyle="1">
    <w:name w:val="Heading 5 Char"/>
    <w:link w:val="Heading5"/>
    <w:uiPriority w:val="9"/>
    <w:rPr>
      <w:rFonts w:ascii="Arial" w:hAnsi="Arial" w:eastAsia="Arial" w:cs="Arial"/>
      <w:b/>
      <w:bCs/>
      <w:sz w:val="24"/>
      <w:szCs w:val="24"/>
    </w:rPr>
  </w:style>
  <w:style w:type="character" w:styleId="Heading6Char" w:customStyle="1">
    <w:name w:val="Heading 6 Char"/>
    <w:link w:val="Heading6"/>
    <w:uiPriority w:val="9"/>
    <w:rPr>
      <w:rFonts w:ascii="Arial" w:hAnsi="Arial" w:eastAsia="Arial" w:cs="Arial"/>
      <w:b/>
      <w:bCs/>
      <w:sz w:val="22"/>
      <w:szCs w:val="22"/>
    </w:rPr>
  </w:style>
  <w:style w:type="character" w:styleId="Heading7Char" w:customStyle="1">
    <w:name w:val="Heading 7 Char"/>
    <w:link w:val="Heading7"/>
    <w:uiPriority w:val="9"/>
    <w:rPr>
      <w:rFonts w:ascii="Arial" w:hAnsi="Arial" w:eastAsia="Arial" w:cs="Arial"/>
      <w:b/>
      <w:bCs/>
      <w:i/>
      <w:iCs/>
      <w:sz w:val="22"/>
      <w:szCs w:val="22"/>
    </w:rPr>
  </w:style>
  <w:style w:type="character" w:styleId="Heading8Char" w:customStyle="1">
    <w:name w:val="Heading 8 Char"/>
    <w:link w:val="Heading8"/>
    <w:uiPriority w:val="9"/>
    <w:rPr>
      <w:rFonts w:ascii="Arial" w:hAnsi="Arial" w:eastAsia="Arial" w:cs="Arial"/>
      <w:i/>
      <w:iCs/>
      <w:sz w:val="22"/>
      <w:szCs w:val="22"/>
    </w:rPr>
  </w:style>
  <w:style w:type="character" w:styleId="Heading9Char" w:customStyle="1">
    <w:name w:val="Heading 9 Char"/>
    <w:link w:val="Heading9"/>
    <w:uiPriority w:val="9"/>
    <w:rPr>
      <w:rFonts w:ascii="Arial" w:hAnsi="Arial" w:eastAsia="Arial" w:cs="Arial"/>
      <w:i/>
      <w:iCs/>
      <w:sz w:val="21"/>
      <w:szCs w:val="21"/>
    </w:rPr>
  </w:style>
  <w:style w:type="paragraph" w:styleId="Title">
    <w:name w:val="Title"/>
    <w:basedOn w:val="Normal"/>
    <w:next w:val="Normal"/>
    <w:link w:val="TitleChar"/>
    <w:uiPriority w:val="10"/>
    <w:qFormat/>
    <w:pPr>
      <w:spacing w:before="300"/>
      <w:contextualSpacing/>
    </w:pPr>
    <w:rPr>
      <w:sz w:val="48"/>
      <w:szCs w:val="48"/>
    </w:rPr>
  </w:style>
  <w:style w:type="character" w:styleId="TitleChar" w:customStyle="1">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styleId="SubtitleChar" w:customStyle="1">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styleId="QuoteChar" w:customStyle="1">
    <w:name w:val="Quote Char"/>
    <w:link w:val="Quote"/>
    <w:uiPriority w:val="29"/>
    <w:rPr>
      <w:i/>
    </w:rPr>
  </w:style>
  <w:style w:type="paragraph" w:styleId="IntenseQuote">
    <w:name w:val="Intense Quote"/>
    <w:basedOn w:val="Normal"/>
    <w:next w:val="Normal"/>
    <w:link w:val="IntenseQuoteChar"/>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IntenseQuoteChar" w:customStyle="1">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styleId="HeaderChar" w:customStyle="1">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styleId="FooterChar" w:customStyle="1">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styleId="FooterChar1" w:customStyle="1">
    <w:name w:val="Footer Char1"/>
    <w:link w:val="Footer"/>
    <w:uiPriority w:val="99"/>
  </w:style>
  <w:style w:type="table" w:styleId="TableGrid">
    <w:name w:val="Table Grid"/>
    <w:basedOn w:val="TableNormal"/>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Light">
    <w:name w:val="Grid Table Light"/>
    <w:basedOn w:val="TableNormal"/>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PlainTable1">
    <w:name w:val="Plain Table 1"/>
    <w:basedOn w:val="TableNormal"/>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Accent 2"/>
    <w:basedOn w:val="TableNormal"/>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bl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bl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bl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bl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bl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bl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bl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bl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bl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dTable5Dark-Accent1" w:customStyle="1">
    <w:name w:val="Grid Table 5 Dark Accent 1"/>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4" w:customStyle="1">
    <w:name w:val="Grid Table 5 Dark Accent 4"/>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Accent 1"/>
    <w:basedOn w:val="TableNormal"/>
    <w:uiPriority w:val="99"/>
    <w:pPr>
      <w:spacing w:after="0" w:line="240" w:lineRule="auto"/>
    </w:p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Accent 2"/>
    <w:basedOn w:val="TableNormal"/>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Accent 3"/>
    <w:basedOn w:val="TableNormal"/>
    <w:uiPriority w:val="99"/>
    <w:pPr>
      <w:spacing w:after="0"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Accent 4"/>
    <w:basedOn w:val="TableNormal"/>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Accent 5"/>
    <w:basedOn w:val="TableNormal"/>
    <w:uiPriority w:val="99"/>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Accent 6"/>
    <w:basedOn w:val="TableNormal"/>
    <w:uiPriority w:val="99"/>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Accent 1"/>
    <w:basedOn w:val="TableNormal"/>
    <w:uiPriority w:val="99"/>
    <w:pPr>
      <w:spacing w:after="0" w:line="240" w:lineRule="auto"/>
    </w:p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blPr/>
      <w:tcPr>
        <w:tcBorders>
          <w:top w:val="none" w:color="auto" w:sz="0" w:space="0"/>
          <w:left w:val="none" w:color="auto" w:sz="0" w:space="0"/>
          <w:bottom w:val="single" w:color="ACCCEA" w:themeColor="accent1" w:themeTint="80" w:sz="4" w:space="0"/>
          <w:right w:val="none" w:color="auto" w:sz="0" w:space="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color="ACCCEA"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color="auto" w:sz="0" w:space="0"/>
          <w:left w:val="none" w:color="auto" w:sz="0" w:space="0"/>
          <w:bottom w:val="none" w:color="auto" w:sz="0"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blPr/>
      <w:tcPr>
        <w:tcBorders>
          <w:top w:val="none" w:color="auto" w:sz="0" w:space="0"/>
          <w:left w:val="single" w:color="ACCCEA" w:themeColor="accent1" w:themeTint="80" w:sz="4" w:space="0"/>
          <w:bottom w:val="none" w:color="auto" w:sz="0" w:space="0"/>
          <w:right w:val="none" w:color="auto" w:sz="0" w:space="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Accent 2"/>
    <w:basedOn w:val="TableNormal"/>
    <w:uiPriority w:val="99"/>
    <w:pPr>
      <w:spacing w:after="0"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bl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bl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Accent 3"/>
    <w:basedOn w:val="TableNormal"/>
    <w:uiPriority w:val="99"/>
    <w:pPr>
      <w:spacing w:after="0"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blPr/>
      <w:tcPr>
        <w:tcBorders>
          <w:top w:val="none" w:color="auto" w:sz="0" w:space="0"/>
          <w:left w:val="none" w:color="auto" w:sz="0" w:space="0"/>
          <w:bottom w:val="single" w:color="A5A5A5" w:themeColor="accent3" w:themeTint="FE" w:sz="4" w:space="0"/>
          <w:right w:val="none" w:color="auto" w:sz="0" w:space="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color="A5A5A5"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color="auto" w:sz="0" w:space="0"/>
          <w:left w:val="none" w:color="auto" w:sz="0" w:space="0"/>
          <w:bottom w:val="none" w:color="auto" w:sz="0"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blPr/>
      <w:tcPr>
        <w:tcBorders>
          <w:top w:val="none" w:color="auto" w:sz="0" w:space="0"/>
          <w:left w:val="single" w:color="A5A5A5" w:themeColor="accent3" w:themeTint="FE" w:sz="4" w:space="0"/>
          <w:bottom w:val="none" w:color="auto" w:sz="0" w:space="0"/>
          <w:right w:val="none" w:color="auto" w:sz="0" w:space="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Accent 4"/>
    <w:basedOn w:val="TableNormal"/>
    <w:uiPriority w:val="99"/>
    <w:pPr>
      <w:spacing w:after="0"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bl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bl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Accent 5"/>
    <w:basedOn w:val="TableNormal"/>
    <w:uiPriority w:val="99"/>
    <w:pPr>
      <w:spacing w:after="0" w:line="240" w:lineRule="auto"/>
    </w:p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blPr/>
      <w:tcPr>
        <w:tcBorders>
          <w:top w:val="none" w:color="auto" w:sz="0" w:space="0"/>
          <w:left w:val="none" w:color="auto" w:sz="0" w:space="0"/>
          <w:bottom w:val="single" w:color="95AFDD" w:themeColor="accent5" w:themeTint="90" w:sz="4" w:space="0"/>
          <w:right w:val="none" w:color="auto" w:sz="0" w:space="0"/>
        </w:tcBorders>
        <w:shd w:val="clear" w:color="FFFFFF" w:themeColor="light1" w:fill="FFFFFF" w:themeFill="light1"/>
      </w:tcPr>
    </w:tblStylePr>
    <w:tblStylePr w:type="lastRow">
      <w:rPr>
        <w:rFonts w:ascii="Arial" w:hAnsi="Arial"/>
        <w:b/>
        <w:color w:val="254175" w:themeColor="accent5" w:themeShade="95"/>
        <w:sz w:val="22"/>
      </w:rPr>
      <w:tblPr/>
      <w:tcPr>
        <w:tcBorders>
          <w:top w:val="single" w:color="95AFDD"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color="auto" w:sz="0" w:space="0"/>
          <w:left w:val="none" w:color="auto" w:sz="0" w:space="0"/>
          <w:bottom w:val="none" w:color="auto" w:sz="0"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blPr/>
      <w:tcPr>
        <w:tcBorders>
          <w:top w:val="none" w:color="auto" w:sz="0" w:space="0"/>
          <w:left w:val="single" w:color="95AFDD" w:themeColor="accent5" w:themeTint="90" w:sz="4" w:space="0"/>
          <w:bottom w:val="none" w:color="auto" w:sz="0" w:space="0"/>
          <w:right w:val="none" w:color="auto" w:sz="0" w:space="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Accent 6"/>
    <w:basedOn w:val="TableNormal"/>
    <w:uiPriority w:val="99"/>
    <w:pPr>
      <w:spacing w:after="0"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blPr/>
      <w:tcPr>
        <w:tcBorders>
          <w:top w:val="none" w:color="auto" w:sz="0" w:space="0"/>
          <w:left w:val="none" w:color="auto" w:sz="0" w:space="0"/>
          <w:bottom w:val="single" w:color="ADD394" w:themeColor="accent6" w:themeTint="90" w:sz="4" w:space="0"/>
          <w:right w:val="none" w:color="auto" w:sz="0" w:space="0"/>
        </w:tcBorders>
        <w:shd w:val="clear" w:color="FFFFFF" w:themeColor="light1" w:fill="FFFFFF" w:themeFill="light1"/>
      </w:tcPr>
    </w:tblStylePr>
    <w:tblStylePr w:type="lastRow">
      <w:rPr>
        <w:rFonts w:ascii="Arial" w:hAnsi="Arial"/>
        <w:b/>
        <w:color w:val="416429" w:themeColor="accent6" w:themeShade="95"/>
        <w:sz w:val="22"/>
      </w:rPr>
      <w:tblPr/>
      <w:tcPr>
        <w:tcBorders>
          <w:top w:val="single" w:color="ADD394"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color="auto" w:sz="0" w:space="0"/>
          <w:left w:val="none" w:color="auto" w:sz="0" w:space="0"/>
          <w:bottom w:val="none" w:color="auto" w:sz="0"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blPr/>
      <w:tcPr>
        <w:tcBorders>
          <w:top w:val="none" w:color="auto" w:sz="0" w:space="0"/>
          <w:left w:val="single" w:color="ADD394" w:themeColor="accent6" w:themeTint="90" w:sz="4" w:space="0"/>
          <w:bottom w:val="none" w:color="auto" w:sz="0" w:space="0"/>
          <w:right w:val="none" w:color="auto" w:sz="0" w:space="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bl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bl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5B9BD5" w:themeColor="accent1" w:sz="4" w:space="0"/>
          <w:right w:val="single" w:color="5B9BD5" w:themeColor="accent1" w:sz="4" w:space="0"/>
        </w:tcBorders>
      </w:tcPr>
    </w:tblStylePr>
    <w:tblStylePr w:type="band1Horz">
      <w:rPr>
        <w:rFonts w:ascii="Arial" w:hAnsi="Arial"/>
        <w:color w:val="404040"/>
        <w:sz w:val="22"/>
      </w:rPr>
      <w:tblPr/>
      <w:tcPr>
        <w:tcBorders>
          <w:top w:val="single" w:color="5B9BD5" w:themeColor="accent1" w:sz="4" w:space="0"/>
          <w:bottom w:val="single" w:color="5B9BD5" w:themeColor="accent1" w:sz="4" w:space="0"/>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blPr/>
      <w:tcPr>
        <w:tcBorders>
          <w:top w:val="single" w:color="F4B184" w:themeColor="accent2" w:themeTint="97" w:sz="4" w:space="0"/>
          <w:bottom w:val="single" w:color="F4B184" w:themeColor="accent2" w:themeTint="97" w:sz="4" w:space="0"/>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blPr/>
      <w:tcPr>
        <w:tcBorders>
          <w:top w:val="single" w:color="FFD865" w:themeColor="accent4" w:themeTint="9A" w:sz="4" w:space="0"/>
          <w:bottom w:val="single" w:color="FFD865" w:themeColor="accent4" w:themeTint="9A" w:sz="4" w:space="0"/>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blPr/>
      <w:tcPr>
        <w:tcBorders>
          <w:top w:val="single" w:color="8DA9DB" w:themeColor="accent5" w:themeTint="9A" w:sz="4" w:space="0"/>
          <w:bottom w:val="single" w:color="8DA9DB" w:themeColor="accent5" w:themeTint="9A" w:sz="4" w:space="0"/>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blPr/>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firstRow">
      <w:rPr>
        <w:rFonts w:ascii="Arial" w:hAnsi="Arial"/>
        <w:b/>
        <w:color w:val="FFFFFF" w:themeColor="light1"/>
        <w:sz w:val="22"/>
      </w:rPr>
      <w:tbl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themeColor="accent1"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themeColor="accent1" w:fill="5B9BD5" w:themeFill="accent1"/>
      </w:tcPr>
    </w:tblStylePr>
    <w:tblStylePr w:type="band2Horz">
      <w:tblPr/>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4B184" w:themeColor="accent2" w:themeTint="97" w:sz="32" w:space="0"/>
          <w:right w:val="single" w:color="FFFFFF" w:themeColor="light1" w:sz="4" w:space="0"/>
        </w:tcBorders>
      </w:tcPr>
    </w:tblStylePr>
    <w:tblStylePr w:type="lastCol">
      <w:tblPr/>
      <w:tcPr>
        <w:tcBorders>
          <w:left w:val="single" w:color="FFFFFF" w:themeColor="light1" w:sz="4" w:space="0"/>
          <w:right w:val="single" w:color="F4B184"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FD865" w:themeColor="accent4" w:themeTint="9A" w:sz="32" w:space="0"/>
          <w:right w:val="single" w:color="FFFFFF" w:themeColor="light1" w:sz="4" w:space="0"/>
        </w:tcBorders>
      </w:tcPr>
    </w:tblStylePr>
    <w:tblStylePr w:type="lastCol">
      <w:tblPr/>
      <w:tcPr>
        <w:tcBorders>
          <w:left w:val="single" w:color="FFFFFF" w:themeColor="light1" w:sz="4" w:space="0"/>
          <w:right w:val="single" w:color="FFD865"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8DA9DB" w:themeColor="accent5" w:themeTint="9A" w:sz="32" w:space="0"/>
          <w:right w:val="single" w:color="FFFFFF" w:themeColor="light1" w:sz="4" w:space="0"/>
        </w:tcBorders>
      </w:tcPr>
    </w:tblStylePr>
    <w:tblStylePr w:type="lastCol">
      <w:tblPr/>
      <w:tcPr>
        <w:tcBorders>
          <w:left w:val="single" w:color="FFFFFF" w:themeColor="light1" w:sz="4" w:space="0"/>
          <w:right w:val="single" w:color="8DA9DB"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Accent 1"/>
    <w:basedOn w:val="TableNormal"/>
    <w:uiPriority w:val="99"/>
    <w:pPr>
      <w:spacing w:after="0" w:line="240" w:lineRule="auto"/>
    </w:pPr>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Accent 2"/>
    <w:basedOn w:val="TableNormal"/>
    <w:uiPriority w:val="99"/>
    <w:pPr>
      <w:spacing w:after="0" w:line="240" w:lineRule="auto"/>
    </w:pPr>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themeTint="97" w:sz="4" w:space="0"/>
        </w:tcBorders>
      </w:tcPr>
    </w:tblStylePr>
    <w:tblStylePr w:type="lastRow">
      <w:rPr>
        <w:b/>
        <w:color w:val="F4B184" w:themeColor="accent2" w:themeTint="97" w:themeShade="95"/>
      </w:rPr>
      <w:tbl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Accent 3"/>
    <w:basedOn w:val="TableNormal"/>
    <w:uiPriority w:val="99"/>
    <w:pPr>
      <w:spacing w:after="0" w:line="240" w:lineRule="auto"/>
    </w:pPr>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themeTint="98" w:sz="4" w:space="0"/>
        </w:tcBorders>
      </w:tcPr>
    </w:tblStylePr>
    <w:tblStylePr w:type="lastRow">
      <w:rPr>
        <w:b/>
        <w:color w:val="C9C9C9" w:themeColor="accent3" w:themeTint="98" w:themeShade="95"/>
      </w:rPr>
      <w:tbl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Accent 4"/>
    <w:basedOn w:val="TableNormal"/>
    <w:uiPriority w:val="99"/>
    <w:pPr>
      <w:spacing w:after="0" w:line="240" w:lineRule="auto"/>
    </w:pPr>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themeTint="9A" w:sz="4" w:space="0"/>
        </w:tcBorders>
      </w:tcPr>
    </w:tblStylePr>
    <w:tblStylePr w:type="lastRow">
      <w:rPr>
        <w:b/>
        <w:color w:val="FFD865" w:themeColor="accent4" w:themeTint="9A" w:themeShade="95"/>
      </w:rPr>
      <w:tbl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Accent 5"/>
    <w:basedOn w:val="TableNormal"/>
    <w:uiPriority w:val="99"/>
    <w:pPr>
      <w:spacing w:after="0" w:line="240" w:lineRule="auto"/>
    </w:pPr>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8DA9DB" w:themeColor="accent5" w:themeTint="9A" w:sz="4" w:space="0"/>
        </w:tcBorders>
      </w:tcPr>
    </w:tblStylePr>
    <w:tblStylePr w:type="lastRow">
      <w:rPr>
        <w:b/>
        <w:color w:val="8DA9DB" w:themeColor="accent5" w:themeTint="9A" w:themeShade="95"/>
      </w:rPr>
      <w:tbl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Accent 6"/>
    <w:basedOn w:val="TableNormal"/>
    <w:uiPriority w:val="99"/>
    <w:pPr>
      <w:spacing w:after="0" w:line="240" w:lineRule="auto"/>
    </w:pPr>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themeTint="98" w:sz="4" w:space="0"/>
        </w:tcBorders>
      </w:tcPr>
    </w:tblStylePr>
    <w:tblStylePr w:type="lastRow">
      <w:rPr>
        <w:b/>
        <w:color w:val="A9D08E" w:themeColor="accent6" w:themeTint="98" w:themeShade="95"/>
      </w:rPr>
      <w:tbl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Accent 1"/>
    <w:basedOn w:val="TableNormal"/>
    <w:uiPriority w:val="99"/>
    <w:pPr>
      <w:spacing w:after="0" w:line="240" w:lineRule="auto"/>
    </w:pPr>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themeColor="light1" w:fill="FFFFFF" w:themeFill="light1"/>
      </w:tcPr>
    </w:tblStylePr>
    <w:tblStylePr w:type="lastRow">
      <w:rPr>
        <w:rFonts w:ascii="Arial" w:hAnsi="Arial"/>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rFonts w:ascii="Arial" w:hAnsi="Arial"/>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Accent 2"/>
    <w:basedOn w:val="TableNormal"/>
    <w:uiPriority w:val="99"/>
    <w:pPr>
      <w:spacing w:after="0" w:line="240" w:lineRule="auto"/>
    </w:pPr>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bl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bl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Accent 3"/>
    <w:basedOn w:val="TableNormal"/>
    <w:uiPriority w:val="99"/>
    <w:pPr>
      <w:spacing w:after="0" w:line="240" w:lineRule="auto"/>
    </w:pPr>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blPr/>
      <w:tcPr>
        <w:tcBorders>
          <w:top w:val="none" w:color="auto" w:sz="0" w:space="0"/>
          <w:left w:val="none" w:color="auto" w:sz="0" w:space="0"/>
          <w:bottom w:val="single" w:color="C9C9C9" w:themeColor="accent3" w:themeTint="98" w:sz="4" w:space="0"/>
          <w:right w:val="none" w:color="auto" w:sz="0" w:space="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color="C9C9C9"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color="auto" w:sz="0" w:space="0"/>
          <w:left w:val="none" w:color="auto" w:sz="0" w:space="0"/>
          <w:bottom w:val="none" w:color="auto" w:sz="0"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blPr/>
      <w:tcPr>
        <w:tcBorders>
          <w:top w:val="none" w:color="auto" w:sz="0" w:space="0"/>
          <w:left w:val="single" w:color="C9C9C9" w:themeColor="accent3" w:themeTint="98" w:sz="4" w:space="0"/>
          <w:bottom w:val="none" w:color="auto" w:sz="0" w:space="0"/>
          <w:right w:val="none" w:color="auto" w:sz="0" w:space="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Accent 4"/>
    <w:basedOn w:val="TableNormal"/>
    <w:uiPriority w:val="99"/>
    <w:pPr>
      <w:spacing w:after="0" w:line="240" w:lineRule="auto"/>
    </w:pPr>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bl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bl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Accent 5"/>
    <w:basedOn w:val="TableNormal"/>
    <w:uiPriority w:val="99"/>
    <w:pPr>
      <w:spacing w:after="0" w:line="240" w:lineRule="auto"/>
    </w:pPr>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blPr/>
      <w:tcPr>
        <w:tcBorders>
          <w:top w:val="none" w:color="auto" w:sz="0" w:space="0"/>
          <w:left w:val="none" w:color="auto" w:sz="0" w:space="0"/>
          <w:bottom w:val="single" w:color="8DA9DB" w:themeColor="accent5" w:themeTint="9A" w:sz="4" w:space="0"/>
          <w:right w:val="none" w:color="auto" w:sz="0" w:space="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color="8DA9DB"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color="auto" w:sz="0" w:space="0"/>
          <w:left w:val="none" w:color="auto" w:sz="0" w:space="0"/>
          <w:bottom w:val="none" w:color="auto" w:sz="0"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blPr/>
      <w:tcPr>
        <w:tcBorders>
          <w:top w:val="none" w:color="auto" w:sz="0" w:space="0"/>
          <w:left w:val="single" w:color="8DA9DB" w:themeColor="accent5" w:themeTint="9A" w:sz="4" w:space="0"/>
          <w:bottom w:val="none" w:color="auto" w:sz="0" w:space="0"/>
          <w:right w:val="none" w:color="auto" w:sz="0" w:space="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Accent 6"/>
    <w:basedOn w:val="TableNormal"/>
    <w:uiPriority w:val="99"/>
    <w:pPr>
      <w:spacing w:after="0" w:line="240" w:lineRule="auto"/>
    </w:pPr>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blPr/>
      <w:tcPr>
        <w:tcBorders>
          <w:top w:val="none" w:color="auto" w:sz="0" w:space="0"/>
          <w:left w:val="none" w:color="auto" w:sz="0" w:space="0"/>
          <w:bottom w:val="single" w:color="A9D08E" w:themeColor="accent6" w:themeTint="98" w:sz="4" w:space="0"/>
          <w:right w:val="none" w:color="auto" w:sz="0" w:space="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color="A9D08E"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color="auto" w:sz="0" w:space="0"/>
          <w:left w:val="none" w:color="auto" w:sz="0" w:space="0"/>
          <w:bottom w:val="none" w:color="auto" w:sz="0"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blPr/>
      <w:tcPr>
        <w:tcBorders>
          <w:top w:val="none" w:color="auto" w:sz="0" w:space="0"/>
          <w:left w:val="single" w:color="A9D08E" w:themeColor="accent6" w:themeTint="98" w:sz="4" w:space="0"/>
          <w:bottom w:val="none" w:color="auto" w:sz="0" w:space="0"/>
          <w:right w:val="none" w:color="auto" w:sz="0" w:space="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TableNormal"/>
    <w:uiPriority w:val="99"/>
    <w:pPr>
      <w:spacing w:after="0" w:line="240" w:lineRule="auto"/>
    </w:pPr>
    <w:rPr>
      <w:color w:val="404040"/>
      <w:sz w:val="20"/>
      <w:szCs w:val="20"/>
      <w:lang w:val="en-GB" w:eastAsia="ja-JP"/>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styleId="Lined-Accent1" w:customStyle="1">
    <w:name w:val="Lined - Accent 1"/>
    <w:basedOn w:val="TableNormal"/>
    <w:uiPriority w:val="99"/>
    <w:pPr>
      <w:spacing w:after="0" w:line="240" w:lineRule="auto"/>
    </w:pPr>
    <w:rPr>
      <w:color w:val="404040"/>
      <w:sz w:val="20"/>
      <w:szCs w:val="20"/>
      <w:lang w:val="en-GB" w:eastAsia="ja-JP"/>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styleId="Lined-Accent2" w:customStyle="1">
    <w:name w:val="Lined - Accent 2"/>
    <w:basedOn w:val="TableNormal"/>
    <w:uiPriority w:val="99"/>
    <w:pPr>
      <w:spacing w:after="0" w:line="240" w:lineRule="auto"/>
    </w:pPr>
    <w:rPr>
      <w:color w:val="404040"/>
      <w:sz w:val="20"/>
      <w:szCs w:val="20"/>
      <w:lang w:val="en-GB" w:eastAsia="ja-JP"/>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styleId="Lined-Accent3" w:customStyle="1">
    <w:name w:val="Lined - Accent 3"/>
    <w:basedOn w:val="TableNormal"/>
    <w:uiPriority w:val="99"/>
    <w:pPr>
      <w:spacing w:after="0" w:line="240" w:lineRule="auto"/>
    </w:pPr>
    <w:rPr>
      <w:color w:val="404040"/>
      <w:sz w:val="20"/>
      <w:szCs w:val="20"/>
      <w:lang w:val="en-GB" w:eastAsia="ja-JP"/>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styleId="Lined-Accent4" w:customStyle="1">
    <w:name w:val="Lined - Accent 4"/>
    <w:basedOn w:val="TableNormal"/>
    <w:uiPriority w:val="99"/>
    <w:pPr>
      <w:spacing w:after="0" w:line="240" w:lineRule="auto"/>
    </w:pPr>
    <w:rPr>
      <w:color w:val="404040"/>
      <w:sz w:val="20"/>
      <w:szCs w:val="20"/>
      <w:lang w:val="en-GB" w:eastAsia="ja-JP"/>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styleId="Lined-Accent5" w:customStyle="1">
    <w:name w:val="Lined - Accent 5"/>
    <w:basedOn w:val="TableNormal"/>
    <w:uiPriority w:val="99"/>
    <w:pPr>
      <w:spacing w:after="0" w:line="240" w:lineRule="auto"/>
    </w:pPr>
    <w:rPr>
      <w:color w:val="404040"/>
      <w:sz w:val="20"/>
      <w:szCs w:val="20"/>
      <w:lang w:val="en-GB" w:eastAsia="ja-JP"/>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styleId="Lined-Accent6" w:customStyle="1">
    <w:name w:val="Lined - Accent 6"/>
    <w:basedOn w:val="TableNormal"/>
    <w:uiPriority w:val="99"/>
    <w:pPr>
      <w:spacing w:after="0" w:line="240" w:lineRule="auto"/>
    </w:pPr>
    <w:rPr>
      <w:color w:val="404040"/>
      <w:sz w:val="20"/>
      <w:szCs w:val="20"/>
      <w:lang w:val="en-GB" w:eastAsia="ja-JP"/>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styleId="BorderedLined-Accent" w:customStyle="1">
    <w:name w:val="Bordered &amp; Lined - Accent"/>
    <w:basedOn w:val="TableNormal"/>
    <w:uiPriority w:val="99"/>
    <w:pPr>
      <w:spacing w:after="0" w:line="240" w:lineRule="auto"/>
    </w:pPr>
    <w:rPr>
      <w:color w:val="404040"/>
      <w:sz w:val="20"/>
      <w:szCs w:val="20"/>
      <w:lang w:val="en-GB" w:eastAsia="ja-JP"/>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styleId="BorderedLined-Accent1" w:customStyle="1">
    <w:name w:val="Bordered &amp; Lined - Accent 1"/>
    <w:basedOn w:val="TableNormal"/>
    <w:uiPriority w:val="99"/>
    <w:pPr>
      <w:spacing w:after="0" w:line="240" w:lineRule="auto"/>
    </w:pPr>
    <w:rPr>
      <w:color w:val="404040"/>
      <w:sz w:val="20"/>
      <w:szCs w:val="20"/>
      <w:lang w:val="en-GB" w:eastAsia="ja-JP"/>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styleId="BorderedLined-Accent2" w:customStyle="1">
    <w:name w:val="Bordered &amp; Lined - Accent 2"/>
    <w:basedOn w:val="TableNormal"/>
    <w:uiPriority w:val="99"/>
    <w:pPr>
      <w:spacing w:after="0" w:line="240" w:lineRule="auto"/>
    </w:pPr>
    <w:rPr>
      <w:color w:val="404040"/>
      <w:sz w:val="20"/>
      <w:szCs w:val="20"/>
      <w:lang w:val="en-GB" w:eastAsia="ja-JP"/>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styleId="BorderedLined-Accent3" w:customStyle="1">
    <w:name w:val="Bordered &amp; Lined - Accent 3"/>
    <w:basedOn w:val="TableNormal"/>
    <w:uiPriority w:val="99"/>
    <w:pPr>
      <w:spacing w:after="0" w:line="240" w:lineRule="auto"/>
    </w:pPr>
    <w:rPr>
      <w:color w:val="404040"/>
      <w:sz w:val="20"/>
      <w:szCs w:val="20"/>
      <w:lang w:val="en-GB" w:eastAsia="ja-JP"/>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styleId="BorderedLined-Accent4" w:customStyle="1">
    <w:name w:val="Bordered &amp; Lined - Accent 4"/>
    <w:basedOn w:val="TableNormal"/>
    <w:uiPriority w:val="99"/>
    <w:pPr>
      <w:spacing w:after="0" w:line="240" w:lineRule="auto"/>
    </w:pPr>
    <w:rPr>
      <w:color w:val="404040"/>
      <w:sz w:val="20"/>
      <w:szCs w:val="20"/>
      <w:lang w:val="en-GB" w:eastAsia="ja-JP"/>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styleId="BorderedLined-Accent5" w:customStyle="1">
    <w:name w:val="Bordered &amp; Lined - Accent 5"/>
    <w:basedOn w:val="TableNormal"/>
    <w:uiPriority w:val="99"/>
    <w:pPr>
      <w:spacing w:after="0" w:line="240" w:lineRule="auto"/>
    </w:pPr>
    <w:rPr>
      <w:color w:val="404040"/>
      <w:sz w:val="20"/>
      <w:szCs w:val="20"/>
      <w:lang w:val="en-GB" w:eastAsia="ja-JP"/>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styleId="BorderedLined-Accent6" w:customStyle="1">
    <w:name w:val="Bordered &amp; Lined - Accent 6"/>
    <w:basedOn w:val="TableNormal"/>
    <w:uiPriority w:val="99"/>
    <w:pPr>
      <w:spacing w:after="0" w:line="240" w:lineRule="auto"/>
    </w:pPr>
    <w:rPr>
      <w:color w:val="404040"/>
      <w:sz w:val="20"/>
      <w:szCs w:val="20"/>
      <w:lang w:val="en-GB" w:eastAsia="ja-JP"/>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styleId="Bordered" w:customStyle="1">
    <w:name w:val="Bordered"/>
    <w:basedOn w:val="TableNormal"/>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blPr/>
      <w:tcPr>
        <w:tcBorders>
          <w:bottom w:val="single" w:color="7F7F7F" w:themeColor="text1" w:themeTint="80" w:sz="12" w:space="0"/>
        </w:tcBorders>
      </w:tcPr>
    </w:tblStylePr>
    <w:tblStylePr w:type="lastRow">
      <w:rPr>
        <w:rFonts w:ascii="Arial" w:hAnsi="Arial"/>
        <w:color w:val="404040"/>
        <w:sz w:val="22"/>
      </w:rPr>
      <w:tbl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F7F7F" w:themeColor="text1" w:themeTint="80" w:sz="12" w:space="0"/>
        </w:tcBorders>
      </w:tcPr>
    </w:tblStylePr>
    <w:tblStylePr w:type="band1Horz">
      <w:rPr>
        <w:rFonts w:ascii="Arial" w:hAnsi="Arial"/>
        <w:color w:val="404040"/>
        <w:sz w:val="22"/>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TableNormal"/>
    <w:uiPriority w:val="99"/>
    <w:pPr>
      <w:spacing w:after="0" w:line="240" w:lineRule="auto"/>
    </w:p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blPr/>
      <w:tcPr>
        <w:tcBorders>
          <w:bottom w:val="single" w:color="5B9BD5" w:themeColor="accent1" w:sz="12" w:space="0"/>
        </w:tcBorders>
      </w:tcPr>
    </w:tblStylePr>
    <w:tblStylePr w:type="lastRow">
      <w:rPr>
        <w:rFonts w:ascii="Arial" w:hAnsi="Arial"/>
        <w:color w:val="404040"/>
        <w:sz w:val="22"/>
      </w:rPr>
      <w:tbl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5B9BD5" w:themeColor="accent1" w:sz="12" w:space="0"/>
        </w:tcBorders>
      </w:tc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TableNormal"/>
    <w:uiPriority w:val="99"/>
    <w:pPr>
      <w:spacing w:after="0"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184" w:themeColor="accent2" w:themeTint="97" w:sz="12" w:space="0"/>
        </w:tcBorders>
      </w:tcPr>
    </w:tblStylePr>
    <w:tblStylePr w:type="lastRow">
      <w:rPr>
        <w:rFonts w:ascii="Arial" w:hAnsi="Arial"/>
        <w:color w:val="404040"/>
        <w:sz w:val="22"/>
      </w:rPr>
      <w:tbl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4B184" w:themeColor="accent2" w:themeTint="97" w:sz="12" w:space="0"/>
        </w:tcBorders>
      </w:tc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TableNormal"/>
    <w:uiPriority w:val="99"/>
    <w:pPr>
      <w:spacing w:after="0"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C9C9C9" w:themeColor="accent3" w:themeTint="98" w:sz="12" w:space="0"/>
        </w:tcBorders>
      </w:tc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TableNormal"/>
    <w:uiPriority w:val="99"/>
    <w:pPr>
      <w:spacing w:after="0"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blPr/>
      <w:tcPr>
        <w:tcBorders>
          <w:bottom w:val="single" w:color="FFD865" w:themeColor="accent4" w:themeTint="9A" w:sz="12" w:space="0"/>
        </w:tcBorders>
      </w:tcPr>
    </w:tblStylePr>
    <w:tblStylePr w:type="lastRow">
      <w:rPr>
        <w:rFonts w:ascii="Arial" w:hAnsi="Arial"/>
        <w:color w:val="404040"/>
        <w:sz w:val="22"/>
      </w:rPr>
      <w:tbl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FD865" w:themeColor="accent4" w:themeTint="9A" w:sz="12" w:space="0"/>
        </w:tcBorders>
      </w:tc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TableNormal"/>
    <w:uiPriority w:val="99"/>
    <w:pPr>
      <w:spacing w:after="0" w:line="240" w:lineRule="auto"/>
    </w:p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rFonts w:ascii="Arial" w:hAnsi="Arial"/>
        <w:color w:val="404040"/>
        <w:sz w:val="22"/>
      </w:rPr>
      <w:tblPr/>
      <w:tcPr>
        <w:tcBorders>
          <w:bottom w:val="single" w:color="8DA9DB" w:themeColor="accent5" w:themeTint="9A" w:sz="12" w:space="0"/>
        </w:tcBorders>
      </w:tcPr>
    </w:tblStylePr>
    <w:tblStylePr w:type="lastRow">
      <w:rPr>
        <w:rFonts w:ascii="Arial" w:hAnsi="Arial"/>
        <w:color w:val="404040"/>
        <w:sz w:val="22"/>
      </w:rPr>
      <w:tbl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8DA9DB" w:themeColor="accent5" w:themeTint="9A" w:sz="12" w:space="0"/>
        </w:tcBorders>
      </w:tcPr>
    </w:tblStylePr>
    <w:tblStylePr w:type="band1Horz">
      <w:rPr>
        <w:rFonts w:ascii="Arial" w:hAnsi="Arial"/>
        <w:color w:val="404040"/>
        <w:sz w:val="22"/>
      </w:rPr>
      <w:tbl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TableNormal"/>
    <w:uiPriority w:val="99"/>
    <w:pPr>
      <w:spacing w:after="0"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A9D08E" w:themeColor="accent6" w:themeTint="98" w:sz="12" w:space="0"/>
        </w:tcBorders>
      </w:tc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styleId="FootnoteTextChar" w:customStyle="1">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styleId="EndnoteTextChar" w:customStyle="1">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dTl5tb_hDtdztp3ASx0XOFTegmWXfPUvggZusx0dFFg/edi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dsmovement.net/BoycottHP-GazaGenocide-Update" TargetMode="Externa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vestigate.afsc.org/company/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ublininquirer.com/2024/01/17/despite-palestinians-calls-councillors-vote-and-genocide-dublin-city-council-continues-to-buy-hp-computers/" TargetMode="External"/><Relationship Id="rId4" Type="http://schemas.openxmlformats.org/officeDocument/2006/relationships/styles" Target="styles.xml"/><Relationship Id="rId9" Type="http://schemas.openxmlformats.org/officeDocument/2006/relationships/hyperlink" Target="https://intranet.cardiff.ac.uk/staff/supporting-your-work/purchasing-services-and-goods/university-suppliers-and-contracts/purchasing-it-goods-and-services/purchasing-laptops/laptop-compu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9D3FC0B146D348B648C2BAD7AADDCA" ma:contentTypeVersion="18" ma:contentTypeDescription="Create a new document." ma:contentTypeScope="" ma:versionID="d22620b6e7a5e531af4d8f6d82369f95">
  <xsd:schema xmlns:xsd="http://www.w3.org/2001/XMLSchema" xmlns:xs="http://www.w3.org/2001/XMLSchema" xmlns:p="http://schemas.microsoft.com/office/2006/metadata/properties" xmlns:ns2="9708b1e8-296b-4572-b73c-e9968812f136" xmlns:ns3="83ccd105-66f5-4947-b344-32d22309ecad" targetNamespace="http://schemas.microsoft.com/office/2006/metadata/properties" ma:root="true" ma:fieldsID="e5d4a0a362f11bdbc1dc1352d8652a2e" ns2:_="" ns3:_="">
    <xsd:import namespace="9708b1e8-296b-4572-b73c-e9968812f136"/>
    <xsd:import namespace="83ccd105-66f5-4947-b344-32d22309ec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b1e8-296b-4572-b73c-e9968812f1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f9224e-977d-4f98-a021-9bf298562577}" ma:internalName="TaxCatchAll" ma:showField="CatchAllData" ma:web="9708b1e8-296b-4572-b73c-e9968812f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cd105-66f5-4947-b344-32d22309ec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91bc36-d201-47c5-ba36-686acda88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708b1e8-296b-4572-b73c-e9968812f136" xsi:nil="true"/>
    <lcf76f155ced4ddcb4097134ff3c332f xmlns="83ccd105-66f5-4947-b344-32d22309ec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3695EE-AFAE-4562-A4E3-11020EE594E1}">
  <ds:schemaRefs>
    <ds:schemaRef ds:uri="http://schemas.microsoft.com/sharepoint/v3/contenttype/forms"/>
  </ds:schemaRefs>
</ds:datastoreItem>
</file>

<file path=customXml/itemProps2.xml><?xml version="1.0" encoding="utf-8"?>
<ds:datastoreItem xmlns:ds="http://schemas.openxmlformats.org/officeDocument/2006/customXml" ds:itemID="{A15919E7-6E5F-43C1-B18C-FCF278BB1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b1e8-296b-4572-b73c-e9968812f136"/>
    <ds:schemaRef ds:uri="83ccd105-66f5-4947-b344-32d22309e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CA7B5-9B85-4E08-9E98-22D372A820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Chris Graves</cp:lastModifiedBy>
  <cp:revision>3</cp:revision>
  <dcterms:created xsi:type="dcterms:W3CDTF">2024-06-06T13:17:00Z</dcterms:created>
  <dcterms:modified xsi:type="dcterms:W3CDTF">2024-06-06T13:24:17Z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0x010100789D3FC0B146D348B648C2BAD7AADDCA</vt:lpwstr>
  </property>
</Properties>
</file>